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770AD">
        <w:rPr>
          <w:sz w:val="28"/>
        </w:rPr>
        <w:t>Bruch und Prozentsatz</w:t>
      </w:r>
    </w:p>
    <w:p w:rsidR="00694A63" w:rsidRPr="00694A63" w:rsidRDefault="00694A63">
      <w:pPr>
        <w:pStyle w:val="IQB-Teilaufgabentitel"/>
        <w:rPr>
          <w:b/>
        </w:rPr>
      </w:pPr>
      <w:r w:rsidRPr="00694A63">
        <w:rPr>
          <w:b/>
        </w:rPr>
        <w:t>Merkmale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3770AD" w:rsidTr="003770AD">
        <w:tc>
          <w:tcPr>
            <w:tcW w:w="2466" w:type="dxa"/>
            <w:tcBorders>
              <w:top w:val="single" w:sz="4" w:space="0" w:color="auto"/>
            </w:tcBorders>
            <w:vAlign w:val="center"/>
          </w:tcPr>
          <w:p w:rsidR="003770AD" w:rsidRDefault="003770AD" w:rsidP="00C350B6">
            <w:pPr>
              <w:pStyle w:val="IQB-Merkmal"/>
            </w:pPr>
            <w:r>
              <w:t>Leitidee</w:t>
            </w:r>
          </w:p>
        </w:tc>
        <w:tc>
          <w:tcPr>
            <w:tcW w:w="6604" w:type="dxa"/>
            <w:tcBorders>
              <w:top w:val="single" w:sz="4" w:space="0" w:color="auto"/>
            </w:tcBorders>
          </w:tcPr>
          <w:p w:rsidR="003770AD" w:rsidRDefault="003770AD" w:rsidP="00C350B6">
            <w:pPr>
              <w:pStyle w:val="IQB-Merkmalswert"/>
            </w:pPr>
            <w:r>
              <w:t>1. Zahl</w:t>
            </w:r>
          </w:p>
        </w:tc>
      </w:tr>
      <w:tr w:rsidR="003770AD" w:rsidTr="003770AD">
        <w:tc>
          <w:tcPr>
            <w:tcW w:w="2466" w:type="dxa"/>
            <w:vAlign w:val="center"/>
          </w:tcPr>
          <w:p w:rsidR="003770AD" w:rsidRDefault="003770AD" w:rsidP="00C350B6">
            <w:pPr>
              <w:pStyle w:val="IQB-Merkmal"/>
            </w:pPr>
            <w:r>
              <w:t>Allgemeine Kompetenz</w:t>
            </w:r>
          </w:p>
        </w:tc>
        <w:tc>
          <w:tcPr>
            <w:tcW w:w="6604" w:type="dxa"/>
          </w:tcPr>
          <w:p w:rsidR="003770AD" w:rsidRDefault="003770AD" w:rsidP="00C350B6">
            <w:pPr>
              <w:pStyle w:val="IQB-Merkmalswert"/>
            </w:pPr>
            <w:r w:rsidRPr="00C90C32">
              <w:t>Mit Mathematik symbolisch/ formal/ technisch umgehen (K5)</w:t>
            </w:r>
          </w:p>
        </w:tc>
      </w:tr>
      <w:tr w:rsidR="003770AD" w:rsidTr="003770AD">
        <w:tc>
          <w:tcPr>
            <w:tcW w:w="2466" w:type="dxa"/>
            <w:vAlign w:val="center"/>
          </w:tcPr>
          <w:p w:rsidR="003770AD" w:rsidRDefault="003770AD" w:rsidP="00C350B6">
            <w:pPr>
              <w:pStyle w:val="IQB-Merkmal"/>
            </w:pPr>
            <w:r>
              <w:t>Anforderungsbereich</w:t>
            </w:r>
          </w:p>
        </w:tc>
        <w:tc>
          <w:tcPr>
            <w:tcW w:w="6604" w:type="dxa"/>
          </w:tcPr>
          <w:p w:rsidR="003770AD" w:rsidRDefault="003770AD" w:rsidP="00C350B6">
            <w:pPr>
              <w:pStyle w:val="IQB-Merkmalswert"/>
            </w:pPr>
            <w:r>
              <w:t>I</w:t>
            </w:r>
          </w:p>
        </w:tc>
      </w:tr>
      <w:tr w:rsidR="003770AD" w:rsidTr="003770AD">
        <w:tc>
          <w:tcPr>
            <w:tcW w:w="2466" w:type="dxa"/>
            <w:tcBorders>
              <w:bottom w:val="single" w:sz="4" w:space="0" w:color="auto"/>
            </w:tcBorders>
            <w:vAlign w:val="center"/>
          </w:tcPr>
          <w:p w:rsidR="003770AD" w:rsidRDefault="003770AD" w:rsidP="00C350B6">
            <w:pPr>
              <w:pStyle w:val="IQB-Merkmal"/>
            </w:pPr>
            <w:r>
              <w:t>Kompetenzstufe</w:t>
            </w:r>
          </w:p>
        </w:tc>
        <w:tc>
          <w:tcPr>
            <w:tcW w:w="6604" w:type="dxa"/>
            <w:tcBorders>
              <w:bottom w:val="single" w:sz="4" w:space="0" w:color="auto"/>
            </w:tcBorders>
          </w:tcPr>
          <w:p w:rsidR="003770AD" w:rsidRDefault="003770AD" w:rsidP="00C350B6">
            <w:pPr>
              <w:pStyle w:val="IQB-Merkmalswert"/>
            </w:pPr>
            <w:r>
              <w:t>2</w:t>
            </w:r>
          </w:p>
        </w:tc>
      </w:tr>
    </w:tbl>
    <w:p w:rsidR="00694A63" w:rsidRPr="00694A63" w:rsidRDefault="00694A63" w:rsidP="00694A63">
      <w:pPr>
        <w:pStyle w:val="IQB-Teilaufgabentitel"/>
        <w:rPr>
          <w:b/>
        </w:rPr>
      </w:pPr>
      <w:r w:rsidRPr="00694A63">
        <w:rPr>
          <w:b/>
        </w:rPr>
        <w:t>Aufgabenbezogener Kommentar</w:t>
      </w:r>
    </w:p>
    <w:p w:rsidR="003770AD" w:rsidRPr="00B94A60" w:rsidRDefault="003770AD" w:rsidP="003770AD">
      <w:pPr>
        <w:pStyle w:val="IQB-Standard"/>
        <w:rPr>
          <w:sz w:val="22"/>
          <w:szCs w:val="22"/>
        </w:rPr>
      </w:pPr>
      <w:r w:rsidRPr="00B94A60">
        <w:rPr>
          <w:sz w:val="22"/>
          <w:szCs w:val="22"/>
        </w:rPr>
        <w:t xml:space="preserve">Diese Aufgabe gehört zur Leitidee Zahl (L1), </w:t>
      </w:r>
      <w:proofErr w:type="gramStart"/>
      <w:r w:rsidRPr="00B94A60">
        <w:rPr>
          <w:sz w:val="22"/>
          <w:szCs w:val="22"/>
        </w:rPr>
        <w:t>weil</w:t>
      </w:r>
      <w:proofErr w:type="gramEnd"/>
      <w:r w:rsidRPr="00B94A60">
        <w:rPr>
          <w:sz w:val="22"/>
          <w:szCs w:val="22"/>
        </w:rPr>
        <w:t xml:space="preserve"> hier Zahlen von der Dezimal- in die Prozentdarstellung und von der Prozent- in die Dezimaldarstellung umgewandelt werden sollen.</w:t>
      </w:r>
    </w:p>
    <w:p w:rsidR="003770AD" w:rsidRPr="00B94A60" w:rsidRDefault="003770AD" w:rsidP="003770AD">
      <w:pPr>
        <w:pStyle w:val="IQB-Standard"/>
        <w:rPr>
          <w:sz w:val="22"/>
          <w:szCs w:val="22"/>
        </w:rPr>
      </w:pPr>
      <w:r w:rsidRPr="00B94A60">
        <w:rPr>
          <w:sz w:val="22"/>
          <w:szCs w:val="22"/>
        </w:rPr>
        <w:t>Die Lernenden können die geforderten Darstellungswechsel entweder unter Rückgriff auf vorhandenes Wissen und Erfahrungen direkt durchführen oder auf die Hundertstel-Vorstellung zurückgreifen und die gesuchten Werte durch Erweitern von Brüchen bzw. Division durch Zehnerpotenzen berechnen (K5).</w:t>
      </w:r>
    </w:p>
    <w:p w:rsidR="003770AD" w:rsidRPr="00B94A60" w:rsidRDefault="003770AD" w:rsidP="003770AD">
      <w:pPr>
        <w:pStyle w:val="IQB-Standard"/>
        <w:rPr>
          <w:sz w:val="22"/>
          <w:szCs w:val="22"/>
        </w:rPr>
      </w:pPr>
      <w:r w:rsidRPr="00B94A60">
        <w:rPr>
          <w:sz w:val="22"/>
          <w:szCs w:val="22"/>
        </w:rPr>
        <w:t>Da hier mittels geübter Routineverfahren vertraute Darstellungsformen ineinander überführt werden sollen, wird die Aufgabe dem Anforderungsbereich I zugeordnet.</w:t>
      </w:r>
    </w:p>
    <w:p w:rsidR="00694A63" w:rsidRPr="00694A63" w:rsidRDefault="00694A63" w:rsidP="00694A63">
      <w:pPr>
        <w:pStyle w:val="IQB-Teilaufgabentitel"/>
        <w:rPr>
          <w:b/>
        </w:rPr>
      </w:pPr>
      <w:r w:rsidRPr="00694A63">
        <w:rPr>
          <w:b/>
        </w:rPr>
        <w:t>Anregungen für den Unterricht</w:t>
      </w:r>
    </w:p>
    <w:p w:rsidR="003770AD" w:rsidRDefault="003770AD" w:rsidP="003770AD">
      <w:pPr>
        <w:pStyle w:val="IQB-Standard"/>
        <w:spacing w:after="60"/>
        <w:rPr>
          <w:sz w:val="22"/>
          <w:szCs w:val="22"/>
        </w:rPr>
      </w:pPr>
      <w:r w:rsidRPr="00B94A60">
        <w:rPr>
          <w:sz w:val="22"/>
          <w:szCs w:val="22"/>
        </w:rPr>
        <w:t>In der Aufgabe und der zusätzlichen Teilaufgabe</w:t>
      </w:r>
      <w:r>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3770AD" w:rsidTr="00C350B6">
        <w:tc>
          <w:tcPr>
            <w:tcW w:w="9778" w:type="dxa"/>
          </w:tcPr>
          <w:p w:rsidR="003770AD" w:rsidRPr="007B15AD" w:rsidRDefault="003770AD" w:rsidP="00C350B6">
            <w:pPr>
              <w:pStyle w:val="IQB-Standard"/>
              <w:rPr>
                <w:sz w:val="22"/>
                <w:szCs w:val="22"/>
              </w:rPr>
            </w:pPr>
            <w:r>
              <w:rPr>
                <w:noProof/>
              </w:rPr>
              <mc:AlternateContent>
                <mc:Choice Requires="wps">
                  <w:drawing>
                    <wp:anchor distT="0" distB="0" distL="114297" distR="114297" simplePos="0" relativeHeight="251659264" behindDoc="0" locked="0" layoutInCell="1" allowOverlap="1">
                      <wp:simplePos x="0" y="0"/>
                      <wp:positionH relativeFrom="column">
                        <wp:posOffset>-146051</wp:posOffset>
                      </wp:positionH>
                      <wp:positionV relativeFrom="paragraph">
                        <wp:posOffset>-81280</wp:posOffset>
                      </wp:positionV>
                      <wp:extent cx="0" cy="1435100"/>
                      <wp:effectExtent l="19050" t="0" r="38100" b="50800"/>
                      <wp:wrapNone/>
                      <wp:docPr id="157" name="Gerader Verbinder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3510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F6066F4" id="Gerader Verbinder 157"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1.5pt,-6.4pt" to="-11.5pt,10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" strokecolor="#bfbfbf" strokeweight="4.5pt">
                      <o:lock v:ext="edit" shapetype="f"/>
                    </v:line>
                  </w:pict>
                </mc:Fallback>
              </mc:AlternateContent>
            </w:r>
            <w:r w:rsidRPr="007B15AD">
              <w:rPr>
                <w:sz w:val="22"/>
                <w:szCs w:val="22"/>
              </w:rPr>
              <w:t xml:space="preserve">In der Tabelle stehen Prozentsätze und zugehörige Brüche. </w:t>
            </w:r>
          </w:p>
          <w:p w:rsidR="003770AD" w:rsidRPr="007B15AD" w:rsidRDefault="003770AD" w:rsidP="00C350B6">
            <w:pPr>
              <w:pStyle w:val="IQB-Standard"/>
              <w:rPr>
                <w:sz w:val="22"/>
                <w:szCs w:val="22"/>
              </w:rPr>
            </w:pPr>
            <w:r w:rsidRPr="007B15AD">
              <w:rPr>
                <w:sz w:val="22"/>
                <w:szCs w:val="22"/>
              </w:rPr>
              <w:t>Vervollständige die Tabelle.</w:t>
            </w:r>
          </w:p>
          <w:p w:rsidR="003770AD" w:rsidRPr="007B15AD" w:rsidRDefault="003770AD" w:rsidP="00C350B6">
            <w:pPr>
              <w:pStyle w:val="IQB-Standard"/>
              <w:rPr>
                <w:sz w:val="22"/>
                <w:szCs w:val="22"/>
              </w:rPr>
            </w:pPr>
            <w:r w:rsidRPr="00D2488A">
              <w:rPr>
                <w:noProof/>
              </w:rPr>
              <w:drawing>
                <wp:inline distT="0" distB="0" distL="0" distR="0">
                  <wp:extent cx="4274820" cy="854710"/>
                  <wp:effectExtent l="0" t="0" r="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pic:cNvPicPr>
                            <a:picLocks noChangeAspect="1" noChangeArrowheads="1"/>
                          </pic:cNvPicPr>
                        </pic:nvPicPr>
                        <pic:blipFill>
                          <a:blip r:embed="rId8">
                            <a:extLst>
                              <a:ext uri="{28A0092B-C50C-407E-A947-70E740481C1C}">
                                <a14:useLocalDpi xmlns:a14="http://schemas.microsoft.com/office/drawing/2010/main" val="0"/>
                              </a:ext>
                            </a:extLst>
                          </a:blip>
                          <a:srcRect t="33333"/>
                          <a:stretch>
                            <a:fillRect/>
                          </a:stretch>
                        </pic:blipFill>
                        <pic:spPr bwMode="auto">
                          <a:xfrm>
                            <a:off x="0" y="0"/>
                            <a:ext cx="4274820" cy="854710"/>
                          </a:xfrm>
                          <a:prstGeom prst="rect">
                            <a:avLst/>
                          </a:prstGeom>
                          <a:noFill/>
                          <a:ln>
                            <a:noFill/>
                          </a:ln>
                        </pic:spPr>
                      </pic:pic>
                    </a:graphicData>
                  </a:graphic>
                </wp:inline>
              </w:drawing>
            </w:r>
          </w:p>
        </w:tc>
      </w:tr>
    </w:tbl>
    <w:p w:rsidR="003770AD" w:rsidRDefault="003770AD" w:rsidP="003770AD">
      <w:pPr>
        <w:pStyle w:val="IQB-Standard"/>
        <w:rPr>
          <w:sz w:val="22"/>
          <w:szCs w:val="22"/>
        </w:rPr>
      </w:pPr>
      <w:r w:rsidRPr="00B94A60">
        <w:rPr>
          <w:sz w:val="22"/>
          <w:szCs w:val="22"/>
        </w:rPr>
        <w:t>geht es darum zu erkennen, dass Brüche, Prozentangaben und Dezimalbrüche lediglich unterschiedliche Schreibweisen für eine gebrochene Zahl sind. Diese Erkenntnis fällt vielen Schülerinnen und Schülern leichter, wenn die Verknüpfung neben der bloß technisch-formalen Umrechnung auch visuell geschieht. Geeignet sind hierfür beispielweise die folgenden Abbildungen:</w:t>
      </w:r>
    </w:p>
    <w:p w:rsidR="003770AD" w:rsidRPr="00B94A60" w:rsidRDefault="003770AD" w:rsidP="003770AD">
      <w:pPr>
        <w:pStyle w:val="IQB-Standard"/>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57" w:type="dxa"/>
          <w:bottom w:w="113" w:type="dxa"/>
          <w:right w:w="57" w:type="dxa"/>
        </w:tblCellMar>
        <w:tblLook w:val="01E0" w:firstRow="1" w:lastRow="1" w:firstColumn="1" w:lastColumn="1" w:noHBand="0" w:noVBand="0"/>
      </w:tblPr>
      <w:tblGrid>
        <w:gridCol w:w="9210"/>
      </w:tblGrid>
      <w:tr w:rsidR="003770AD" w:rsidTr="00C350B6">
        <w:tc>
          <w:tcPr>
            <w:tcW w:w="9210" w:type="dxa"/>
            <w:vAlign w:val="center"/>
          </w:tcPr>
          <w:p w:rsidR="003770AD" w:rsidRDefault="003770AD" w:rsidP="00C350B6">
            <w:pPr>
              <w:pStyle w:val="IQB-Standard"/>
              <w:spacing w:after="60"/>
              <w:rPr>
                <w:noProof/>
              </w:rPr>
            </w:pPr>
            <w:r>
              <w:rPr>
                <w:noProof/>
              </w:rPr>
              <mc:AlternateContent>
                <mc:Choice Requires="wps">
                  <w:drawing>
                    <wp:anchor distT="0" distB="0" distL="114299" distR="114299" simplePos="0" relativeHeight="251660288" behindDoc="0" locked="0" layoutInCell="1" allowOverlap="1">
                      <wp:simplePos x="0" y="0"/>
                      <wp:positionH relativeFrom="column">
                        <wp:posOffset>-116205</wp:posOffset>
                      </wp:positionH>
                      <wp:positionV relativeFrom="paragraph">
                        <wp:posOffset>-77470</wp:posOffset>
                      </wp:positionV>
                      <wp:extent cx="3175" cy="2428875"/>
                      <wp:effectExtent l="19050" t="0" r="53975" b="47625"/>
                      <wp:wrapNone/>
                      <wp:docPr id="156" name="Freihandform: Form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75" cy="2428875"/>
                              </a:xfrm>
                              <a:custGeom>
                                <a:avLst/>
                                <a:gdLst>
                                  <a:gd name="T0" fmla="*/ 0 w 5"/>
                                  <a:gd name="T1" fmla="*/ 0 h 3825"/>
                                  <a:gd name="T2" fmla="*/ 5 w 5"/>
                                  <a:gd name="T3" fmla="*/ 3825 h 3825"/>
                                </a:gdLst>
                                <a:ahLst/>
                                <a:cxnLst>
                                  <a:cxn ang="0">
                                    <a:pos x="T0" y="T1"/>
                                  </a:cxn>
                                  <a:cxn ang="0">
                                    <a:pos x="T2" y="T3"/>
                                  </a:cxn>
                                </a:cxnLst>
                                <a:rect l="0" t="0" r="r" b="b"/>
                                <a:pathLst>
                                  <a:path w="5" h="3825">
                                    <a:moveTo>
                                      <a:pt x="0" y="0"/>
                                    </a:moveTo>
                                    <a:lnTo>
                                      <a:pt x="5" y="3825"/>
                                    </a:lnTo>
                                  </a:path>
                                </a:pathLst>
                              </a:custGeom>
                              <a:noFill/>
                              <a:ln w="57150">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E2B21EF" id="Freihandform: Form 156"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9.15pt,-6.1pt,-8.9pt,185.15pt" coordsize="5,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" filled="f" strokecolor="#bfbfbf" strokeweight="4.5pt">
                      <v:path arrowok="t" o:connecttype="custom" o:connectlocs="0,0;3175,2428875" o:connectangles="0,0"/>
                    </v:polyline>
                  </w:pict>
                </mc:Fallback>
              </mc:AlternateContent>
            </w:r>
            <w:r w:rsidRPr="00D2488A">
              <w:rPr>
                <w:noProof/>
              </w:rPr>
              <w:drawing>
                <wp:inline distT="0" distB="0" distL="0" distR="0">
                  <wp:extent cx="4227830" cy="2197100"/>
                  <wp:effectExtent l="0" t="0" r="1270" b="0"/>
                  <wp:docPr id="4" name="Grafik 4" descr="Beschreibung: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25.png"/>
                          <pic:cNvPicPr>
                            <a:picLocks noChangeAspect="1" noChangeArrowheads="1"/>
                          </pic:cNvPicPr>
                        </pic:nvPicPr>
                        <pic:blipFill>
                          <a:blip r:embed="rId9">
                            <a:extLst>
                              <a:ext uri="{28A0092B-C50C-407E-A947-70E740481C1C}">
                                <a14:useLocalDpi xmlns:a14="http://schemas.microsoft.com/office/drawing/2010/main" val="0"/>
                              </a:ext>
                            </a:extLst>
                          </a:blip>
                          <a:srcRect l="1442" t="2708" r="2071" b="2963"/>
                          <a:stretch>
                            <a:fillRect/>
                          </a:stretch>
                        </pic:blipFill>
                        <pic:spPr bwMode="auto">
                          <a:xfrm>
                            <a:off x="0" y="0"/>
                            <a:ext cx="4227830" cy="2197100"/>
                          </a:xfrm>
                          <a:prstGeom prst="rect">
                            <a:avLst/>
                          </a:prstGeom>
                          <a:noFill/>
                          <a:ln>
                            <a:noFill/>
                          </a:ln>
                        </pic:spPr>
                      </pic:pic>
                    </a:graphicData>
                  </a:graphic>
                </wp:inline>
              </w:drawing>
            </w:r>
          </w:p>
        </w:tc>
      </w:tr>
    </w:tbl>
    <w:p w:rsidR="003770AD" w:rsidRPr="003770AD" w:rsidRDefault="003770AD" w:rsidP="003770AD">
      <w:pPr>
        <w:tabs>
          <w:tab w:val="left" w:pos="8104"/>
        </w:tabs>
        <w:rPr>
          <w:rFonts w:ascii="Arial" w:hAnsi="Arial" w:cs="Arial"/>
          <w:sz w:val="22"/>
        </w:rPr>
      </w:pPr>
      <w:r w:rsidRPr="003770AD">
        <w:rPr>
          <w:rFonts w:ascii="Arial" w:hAnsi="Arial" w:cs="Arial"/>
          <w:sz w:val="22"/>
        </w:rPr>
        <w:t>Abbildung 1</w:t>
      </w:r>
    </w:p>
    <w:p w:rsidR="003770AD" w:rsidRDefault="003770AD" w:rsidP="003770AD">
      <w:pPr>
        <w:tabs>
          <w:tab w:val="left" w:pos="8104"/>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57" w:type="dxa"/>
          <w:bottom w:w="113" w:type="dxa"/>
          <w:right w:w="57" w:type="dxa"/>
        </w:tblCellMar>
        <w:tblLook w:val="01E0" w:firstRow="1" w:lastRow="1" w:firstColumn="1" w:lastColumn="1" w:noHBand="0" w:noVBand="0"/>
      </w:tblPr>
      <w:tblGrid>
        <w:gridCol w:w="9210"/>
      </w:tblGrid>
      <w:tr w:rsidR="003770AD" w:rsidTr="00C350B6">
        <w:tc>
          <w:tcPr>
            <w:tcW w:w="9210" w:type="dxa"/>
            <w:vAlign w:val="center"/>
          </w:tcPr>
          <w:p w:rsidR="003770AD" w:rsidRDefault="003770AD" w:rsidP="00C350B6">
            <w:pPr>
              <w:tabs>
                <w:tab w:val="left" w:pos="8104"/>
              </w:tabs>
              <w:spacing w:before="60" w:after="60"/>
            </w:pPr>
            <w:r>
              <w:rPr>
                <w:noProof/>
              </w:rPr>
              <w:lastRenderedPageBreak/>
              <mc:AlternateContent>
                <mc:Choice Requires="wps">
                  <w:drawing>
                    <wp:anchor distT="0" distB="0" distL="114299" distR="114299" simplePos="0" relativeHeight="251661312" behindDoc="0" locked="0" layoutInCell="1" allowOverlap="1">
                      <wp:simplePos x="0" y="0"/>
                      <wp:positionH relativeFrom="column">
                        <wp:posOffset>-114935</wp:posOffset>
                      </wp:positionH>
                      <wp:positionV relativeFrom="paragraph">
                        <wp:posOffset>-77470</wp:posOffset>
                      </wp:positionV>
                      <wp:extent cx="1905" cy="2391410"/>
                      <wp:effectExtent l="19050" t="0" r="55245" b="46990"/>
                      <wp:wrapNone/>
                      <wp:docPr id="155" name="Freihandform: Form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 cy="2391410"/>
                              </a:xfrm>
                              <a:custGeom>
                                <a:avLst/>
                                <a:gdLst>
                                  <a:gd name="T0" fmla="*/ 3 w 3"/>
                                  <a:gd name="T1" fmla="*/ 0 h 3766"/>
                                  <a:gd name="T2" fmla="*/ 0 w 3"/>
                                  <a:gd name="T3" fmla="*/ 3766 h 3766"/>
                                </a:gdLst>
                                <a:ahLst/>
                                <a:cxnLst>
                                  <a:cxn ang="0">
                                    <a:pos x="T0" y="T1"/>
                                  </a:cxn>
                                  <a:cxn ang="0">
                                    <a:pos x="T2" y="T3"/>
                                  </a:cxn>
                                </a:cxnLst>
                                <a:rect l="0" t="0" r="r" b="b"/>
                                <a:pathLst>
                                  <a:path w="3" h="3766">
                                    <a:moveTo>
                                      <a:pt x="3" y="0"/>
                                    </a:moveTo>
                                    <a:lnTo>
                                      <a:pt x="0" y="3766"/>
                                    </a:lnTo>
                                  </a:path>
                                </a:pathLst>
                              </a:custGeom>
                              <a:noFill/>
                              <a:ln w="57150">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20E44ACB" id="Freihandform: Form 155" o:spid="_x0000_s1026" style="position:absolute;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8.9pt,-6.1pt,-9.05pt,182.2pt" coordsize="3,37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" filled="f" strokecolor="#bfbfbf" strokeweight="4.5pt">
                      <v:path arrowok="t" o:connecttype="custom" o:connectlocs="1905,0;0,2391410" o:connectangles="0,0"/>
                    </v:polyline>
                  </w:pict>
                </mc:Fallback>
              </mc:AlternateContent>
            </w:r>
            <w:r w:rsidRPr="00D2488A">
              <w:rPr>
                <w:noProof/>
              </w:rPr>
              <w:drawing>
                <wp:inline distT="0" distB="0" distL="0" distR="0">
                  <wp:extent cx="4690745" cy="2149475"/>
                  <wp:effectExtent l="0" t="0" r="0" b="3175"/>
                  <wp:docPr id="2" name="Grafik 2" descr="Beschreibung: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descr="Beschreibung: 03.png"/>
                          <pic:cNvPicPr>
                            <a:picLocks noChangeAspect="1" noChangeArrowheads="1"/>
                          </pic:cNvPicPr>
                        </pic:nvPicPr>
                        <pic:blipFill>
                          <a:blip r:embed="rId10">
                            <a:extLst>
                              <a:ext uri="{28A0092B-C50C-407E-A947-70E740481C1C}">
                                <a14:useLocalDpi xmlns:a14="http://schemas.microsoft.com/office/drawing/2010/main" val="0"/>
                              </a:ext>
                            </a:extLst>
                          </a:blip>
                          <a:srcRect l="842" t="3140"/>
                          <a:stretch>
                            <a:fillRect/>
                          </a:stretch>
                        </pic:blipFill>
                        <pic:spPr bwMode="auto">
                          <a:xfrm>
                            <a:off x="0" y="0"/>
                            <a:ext cx="4690745" cy="2149475"/>
                          </a:xfrm>
                          <a:prstGeom prst="rect">
                            <a:avLst/>
                          </a:prstGeom>
                          <a:noFill/>
                          <a:ln>
                            <a:noFill/>
                          </a:ln>
                        </pic:spPr>
                      </pic:pic>
                    </a:graphicData>
                  </a:graphic>
                </wp:inline>
              </w:drawing>
            </w:r>
          </w:p>
        </w:tc>
      </w:tr>
    </w:tbl>
    <w:p w:rsidR="003770AD" w:rsidRPr="003770AD" w:rsidRDefault="003770AD" w:rsidP="003770AD">
      <w:pPr>
        <w:tabs>
          <w:tab w:val="left" w:pos="8104"/>
        </w:tabs>
        <w:rPr>
          <w:rFonts w:ascii="Arial" w:hAnsi="Arial" w:cs="Arial"/>
          <w:sz w:val="22"/>
        </w:rPr>
      </w:pPr>
      <w:r w:rsidRPr="003770AD">
        <w:rPr>
          <w:rFonts w:ascii="Arial" w:hAnsi="Arial" w:cs="Arial"/>
          <w:sz w:val="22"/>
        </w:rPr>
        <w:t>Abbildung 2</w:t>
      </w:r>
    </w:p>
    <w:p w:rsidR="00694A63" w:rsidRPr="007E6CC0" w:rsidRDefault="00694A63" w:rsidP="009222F0">
      <w:pPr>
        <w:spacing w:before="60"/>
        <w:rPr>
          <w:rFonts w:ascii="Arial" w:hAnsi="Arial"/>
          <w:sz w:val="22"/>
          <w:szCs w:val="22"/>
        </w:rPr>
      </w:pPr>
      <w:bookmarkStart w:id="0" w:name="_GoBack"/>
      <w:bookmarkEnd w:id="0"/>
    </w:p>
    <w:sectPr w:rsidR="00694A63" w:rsidRPr="007E6CC0" w:rsidSect="00DB65DC">
      <w:headerReference w:type="even" r:id="rId11"/>
      <w:headerReference w:type="default" r:id="rId12"/>
      <w:footerReference w:type="even" r:id="rId13"/>
      <w:footerReference w:type="default" r:id="rId14"/>
      <w:headerReference w:type="first" r:id="rId15"/>
      <w:footerReference w:type="first" r:id="rId16"/>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B3F16837-AFD7-4ACC-938D-00A4C18E766D}"/>
    <w:embedBold r:id="rId2" w:fontKey="{038FBE96-1D52-4081-8ECE-9A8BEEC37B72}"/>
    <w:embedBoldItalic r:id="rId3" w:fontKey="{78BE8445-25C6-438B-9926-F81DB932D37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78F165E"/>
    <w:multiLevelType w:val="singleLevel"/>
    <w:tmpl w:val="5F3E2844"/>
    <w:lvl w:ilvl="0">
      <w:start w:val="1"/>
      <w:numFmt w:val="decimal"/>
      <w:lvlText w:val="(%1)"/>
      <w:lvlJc w:val="left"/>
      <w:pPr>
        <w:tabs>
          <w:tab w:val="num" w:pos="360"/>
        </w:tabs>
        <w:ind w:left="360" w:hanging="360"/>
      </w:pPr>
      <w:rPr>
        <w:rFonts w:ascii="Arial" w:eastAsia="Times New Roman" w:hAnsi="Arial" w:cs="Times New Roman"/>
      </w:rPr>
    </w:lvl>
  </w:abstractNum>
  <w:abstractNum w:abstractNumId="4" w15:restartNumberingAfterBreak="0">
    <w:nsid w:val="3A22639A"/>
    <w:multiLevelType w:val="hybridMultilevel"/>
    <w:tmpl w:val="8774155C"/>
    <w:lvl w:ilvl="0" w:tplc="04070015">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D0D61C5"/>
    <w:multiLevelType w:val="hybridMultilevel"/>
    <w:tmpl w:val="093CBE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
  </w:num>
  <w:num w:numId="3">
    <w:abstractNumId w:val="0"/>
  </w:num>
  <w:num w:numId="4">
    <w:abstractNumId w:val="7"/>
  </w:num>
  <w:num w:numId="5">
    <w:abstractNumId w:val="2"/>
  </w:num>
  <w:num w:numId="6">
    <w:abstractNumId w:val="4"/>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770AD"/>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222F0"/>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C76A7"/>
    <w:rsid w:val="00BE7001"/>
    <w:rsid w:val="00BF6210"/>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o:shapelayout v:ext="edit">
      <o:idmap v:ext="edit" data="1"/>
    </o:shapelayout>
  </w:shapeDefaults>
  <w:decimalSymbol w:val=","/>
  <w:listSeparator w:val=";"/>
  <w14:docId w14:val="6CFA3210"/>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680216-465D-4951-9668-C55EB4A844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173</Words>
  <Characters>1255</Characters>
  <Application>Microsoft Office Word</Application>
  <DocSecurity>0</DocSecurity>
  <Lines>27</Lines>
  <Paragraphs>15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2025-05-22T13:24:00Z</dcterms:created>
  <dcterms:modified xsi:type="dcterms:W3CDTF">2025-05-22T13:24:00Z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